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5A61E8AFDE754BE78D0997D9957FD20B" w:id="0"/>
      <w:r>
        <w:t>Course Descriptions - General Information</w:t>
      </w:r>
      <w:bookmarkEnd w:id="0"/>
      <w:r>
        <w:fldChar w:fldCharType="begin"/>
      </w:r>
      <w:r>
        <w:instrText xml:space="preserve"> XE "Course Descriptions - General Information" </w:instrText>
      </w:r>
      <w:r>
        <w:fldChar w:fldCharType="end"/>
      </w:r>
    </w:p>
    <w:p>
      <w:pPr>
        <w:pStyle w:val="Heading1"/>
      </w:pPr>
      <w:bookmarkStart w:name="10F4C62CCB944D968ADEA1F3E872DACB" w:id="1"/>
      <w:r>
        <w:t>Course Numbering System</w:t>
      </w:r>
      <w:bookmarkEnd w:id="1"/>
      <w:r>
        <w:fldChar w:fldCharType="begin"/>
      </w:r>
      <w:r>
        <w:instrText xml:space="preserve"> XE "Course Numbering System" </w:instrText>
      </w:r>
      <w:r>
        <w:fldChar w:fldCharType="end"/>
      </w:r>
    </w:p>
    <w:p>
      <w:pPr>
        <w:pStyle w:val="sc-BodyText"/>
      </w:pPr>
      <w:r>
        <w:rPr>
          <w:b/>
        </w:rPr>
        <w:t xml:space="preserve">Courses Numbered 000–099</w:t>
      </w:r>
      <w:r>
        <w:t xml:space="preserve"> = Noncredit courses.</w:t>
      </w:r>
    </w:p>
    <w:p>
      <w:pPr>
        <w:pStyle w:val="sc-BodyText"/>
      </w:pPr>
      <w:r>
        <w:rPr>
          <w:b/>
        </w:rPr>
        <w:t xml:space="preserve">Courses Numbered 100–299</w:t>
      </w:r>
      <w:r>
        <w:t xml:space="preserve"> = Introductory and foundational knowledge courses normally</w:t>
      </w:r>
    </w:p>
    <w:p>
      <w:pPr>
        <w:pStyle w:val="sc-BodyText"/>
      </w:pPr>
      <w:r>
        <w:t xml:space="preserve">taken in the undergraduate student’s initial years at the college.</w:t>
      </w:r>
    </w:p>
    <w:p>
      <w:pPr>
        <w:pStyle w:val="sc-BodyText"/>
      </w:pPr>
      <w:r>
        <w:rPr>
          <w:b/>
        </w:rPr>
        <w:t xml:space="preserve">Courses Numbered 300–399</w:t>
      </w:r>
      <w:r>
        <w:t xml:space="preserve"> = More advanced courses taken by undergraduate students.</w:t>
      </w:r>
    </w:p>
    <w:p>
      <w:pPr>
        <w:pStyle w:val="sc-BodyText"/>
      </w:pPr>
      <w:r>
        <w:t xml:space="preserve">These courses are not accepted for credit toward graduate degrees.</w:t>
      </w:r>
    </w:p>
    <w:p>
      <w:pPr>
        <w:pStyle w:val="sc-BodyText"/>
      </w:pPr>
      <w:r>
        <w:rPr>
          <w:b/>
        </w:rPr>
        <w:t xml:space="preserve">Courses Numbered 400–499</w:t>
      </w:r>
      <w:r>
        <w:t xml:space="preserve"> = Most advanced courses, typically taken by seniors, and</w:t>
      </w:r>
    </w:p>
    <w:p>
      <w:pPr>
        <w:pStyle w:val="sc-BodyText"/>
      </w:pPr>
      <w:r>
        <w:t xml:space="preserve">open to graduate students for credit toward graduate degrees. The number of credits</w:t>
      </w:r>
    </w:p>
    <w:p>
      <w:pPr>
        <w:pStyle w:val="sc-BodyText"/>
      </w:pPr>
      <w:r>
        <w:t xml:space="preserve">acceptable in a graduate program is limited by graduate program policies.</w:t>
      </w:r>
    </w:p>
    <w:p>
      <w:pPr>
        <w:pStyle w:val="sc-BodyText"/>
      </w:pPr>
      <w:r>
        <w:rPr>
          <w:b/>
        </w:rPr>
        <w:t xml:space="preserve">Courses Numbered 500–599</w:t>
      </w:r>
      <w:r>
        <w:t xml:space="preserve"> = Courses open to graduate students. Normally these</w:t>
      </w:r>
    </w:p>
    <w:p>
      <w:pPr>
        <w:pStyle w:val="sc-BodyText"/>
      </w:pPr>
      <w:r>
        <w:t xml:space="preserve">courses require a bachelor’s degree as a prerequisite. In certain circumstances, qualified</w:t>
      </w:r>
    </w:p>
    <w:p>
      <w:pPr>
        <w:pStyle w:val="sc-BodyText"/>
      </w:pPr>
      <w:r>
        <w:t xml:space="preserve">undergraduate students who have earned at least 90 credit hours may be admitted, with</w:t>
      </w:r>
    </w:p>
    <w:p>
      <w:pPr>
        <w:pStyle w:val="sc-BodyText"/>
      </w:pPr>
      <w:r>
        <w:t xml:space="preserve">documented consent of the instructor and the appropriate dean.</w:t>
      </w:r>
    </w:p>
    <w:p>
      <w:pPr>
        <w:pStyle w:val="sc-BodyText"/>
      </w:pPr>
      <w:r>
        <w:rPr>
          <w:b/>
        </w:rPr>
        <w:t xml:space="preserve">Courses Numbered 600–699</w:t>
      </w:r>
      <w:r>
        <w:t xml:space="preserve"> = Courses open to graduate and doctoral students only.</w:t>
      </w:r>
    </w:p>
    <w:p>
      <w:pPr>
        <w:pStyle w:val="sc-BodyText"/>
      </w:pPr>
      <w:r>
        <w:rPr>
          <w:b/>
        </w:rPr>
        <w:t xml:space="preserve">Courses Numbered 700–799</w:t>
      </w:r>
      <w:r>
        <w:t xml:space="preserve"> = Courses open to graduate and doctoral students only.</w:t>
      </w:r>
    </w:p>
    <w:p>
      <w:pPr>
        <w:pStyle w:val="sc-BodyText"/>
      </w:pPr>
      <w:r>
        <w:br/>
      </w:r>
    </w:p>
    <w:p>
      <w:pPr>
        <w:pStyle w:val="sc-BodyText"/>
      </w:pPr>
      <w:r>
        <w:rPr>
          <w:i/>
        </w:rPr>
        <w:t xml:space="preserve">* Courses numbered 300 and above must have a prerequisite.</w:t>
      </w:r>
    </w:p>
    <w:p>
      <w:pPr>
        <w:pStyle w:val="sc-BodyText"/>
      </w:pPr>
      <w:r>
        <w:rPr>
          <w:i/>
        </w:rPr>
        <w:t xml:space="preserve">* In general, when the middle digit of a course number is 6, the course is a seminar or a</w:t>
      </w:r>
    </w:p>
    <w:p>
      <w:pPr>
        <w:pStyle w:val="sc-BodyText"/>
      </w:pPr>
      <w:r>
        <w:rPr>
          <w:i/>
        </w:rPr>
        <w:t xml:space="preserve">General Education Core course; 8, a workshop; 9, directed study.</w:t>
      </w:r>
    </w:p>
    <w:p>
      <w:pPr>
        <w:pStyle w:val="sc-BodyText"/>
      </w:pPr>
      <w:r>
        <w:rPr>
          <w:i/>
        </w:rPr>
        <w:t xml:space="preserve">* Courses ending with an E are only open to Early Enrollment Program high school students.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76CC60CF8B94C32A1EB37F50296A9D7" w:id="2"/>
      <w:r>
        <w:t>Courses with Variable Content</w:t>
      </w:r>
      <w:bookmarkEnd w:id="2"/>
      <w:r>
        <w:fldChar w:fldCharType="begin"/>
      </w:r>
      <w:r>
        <w:instrText xml:space="preserve"> XE "Courses with Variable Content" </w:instrText>
      </w:r>
      <w:r>
        <w:fldChar w:fldCharType="end"/>
      </w:r>
    </w:p>
    <w:p>
      <w:pPr>
        <w:pStyle w:val="sc-BodyText"/>
      </w:pPr>
      <w:r>
        <w:t xml:space="preserve">Most departments offer a variety of topic courses (X50), seminar courses (X60), and workshop courses (X80), for which the content and credit hours are announced each semester. Departments may offer independent study courses (X9Y). The level of study, for example, 19Y, 29Y, 39Y, etc., will depend on what is appropriate in terms of the project and the student. These courses may be repeated for credit with a change in content.</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4FC229B783644068B5A6B27EECB5330" w:id="3"/>
      <w:r>
        <w:t>Contact Hours</w:t>
      </w:r>
      <w:bookmarkEnd w:id="3"/>
      <w:r>
        <w:fldChar w:fldCharType="begin"/>
      </w:r>
      <w:r>
        <w:instrText xml:space="preserve"> XE "Contact Hours" </w:instrText>
      </w:r>
      <w:r>
        <w:fldChar w:fldCharType="end"/>
      </w:r>
    </w:p>
    <w:p>
      <w:pPr>
        <w:pStyle w:val="sc-BodyText"/>
      </w:pPr>
      <w:r>
        <w:t xml:space="preserve">A number in parentheses appearing before the credit hours for a course indicates that the number of “contact hours” per week—time required in class, studio, or laboratory—differs from the number of credit hours.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9A3613A1E274D86BDDFCF5F41A39FF1" w:id="4"/>
      <w:r>
        <w:t>Credit Hours</w:t>
      </w:r>
      <w:bookmarkEnd w:id="4"/>
      <w:r>
        <w:fldChar w:fldCharType="begin"/>
      </w:r>
      <w:r>
        <w:instrText xml:space="preserve"> XE "Credit Hours" </w:instrText>
      </w:r>
      <w:r>
        <w:fldChar w:fldCharType="end"/>
      </w:r>
    </w:p>
    <w:p>
      <w:pPr>
        <w:pStyle w:val="sc-BodyText"/>
      </w:pPr>
      <w:r>
        <w:t xml:space="preserve">The number of “credit hours” specified for each course indicates both the number of credits it carries and the approximate total number of clock hours it meets each week.</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4B860F901204CE6B6A4963622743884" w:id="5"/>
      <w:r>
        <w:t>Frequency of Course Offerings</w:t>
      </w:r>
      <w:bookmarkEnd w:id="5"/>
      <w:r>
        <w:fldChar w:fldCharType="begin"/>
      </w:r>
      <w:r>
        <w:instrText xml:space="preserve"> XE "Frequency of Course Offerings" </w:instrText>
      </w:r>
      <w:r>
        <w:fldChar w:fldCharType="end"/>
      </w:r>
    </w:p>
    <w:p>
      <w:pPr>
        <w:pStyle w:val="sc-BodyText"/>
      </w:pPr>
      <w:r>
        <w:t xml:space="preserve">Listed with each course description is the normal frequency with which the course is offered. For example, a course that is typically offered every fall semester carries the notation “Offered fall.” For complete and current information on course offerings, including dates, times, locations, and instructors, students are advised to consult both the Summer/Fall and Spring Course Bulletins.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